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7870F0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188AF" wp14:editId="4C955AF8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B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F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5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742B" w:rsidRDefault="007E742B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</w:t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внутригородского муниципального образования города Севастополя Гагаринский муниципальный округ от 08 ноября 2021 г. № 60–ПМА следующие изменения: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1.1. В Паспорте муниципальной программы «Развитие культуры                          во внутригородском муниципальном образовании города Севастополя Гагаринский муниципальный округ на 2022 - 2026 годы»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5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2694"/>
        <w:gridCol w:w="6250"/>
      </w:tblGrid>
      <w:tr w:rsidR="007E742B" w:rsidRPr="00E947D7" w:rsidTr="009B233A">
        <w:trPr>
          <w:trHeight w:hRule="exact" w:val="3698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42B" w:rsidRPr="00E947D7" w:rsidRDefault="007E742B" w:rsidP="009B233A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/>
                <w:b/>
                <w:spacing w:val="1"/>
                <w:sz w:val="26"/>
                <w:szCs w:val="26"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42B" w:rsidRPr="00E947D7" w:rsidRDefault="007E742B" w:rsidP="009B233A">
            <w:pPr>
              <w:widowControl w:val="0"/>
              <w:ind w:left="97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</w:t>
            </w:r>
            <w:r w:rsidRPr="00E947D7">
              <w:rPr>
                <w:rFonts w:ascii="Times New Roman" w:hAnsi="Times New Roman"/>
                <w:b/>
                <w:spacing w:val="-2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-35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программы</w:t>
            </w:r>
            <w:r w:rsidRPr="00E947D7">
              <w:rPr>
                <w:rFonts w:ascii="Times New Roman" w:hAnsi="Times New Roman"/>
                <w:b/>
                <w:spacing w:val="23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(с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расшифровкой</w:t>
            </w:r>
            <w:r w:rsidRPr="00E947D7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объемов</w:t>
            </w:r>
            <w:r w:rsidRPr="00E947D7">
              <w:rPr>
                <w:rFonts w:ascii="Times New Roman" w:hAnsi="Times New Roman"/>
                <w:b/>
                <w:spacing w:val="22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бюджетных</w:t>
            </w:r>
            <w:r w:rsidRPr="00E947D7">
              <w:rPr>
                <w:rFonts w:ascii="Times New Roman" w:hAnsi="Times New Roman"/>
                <w:b/>
                <w:spacing w:val="-37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ассигнований</w:t>
            </w:r>
            <w:r w:rsidRPr="00E947D7">
              <w:rPr>
                <w:rFonts w:ascii="Times New Roman" w:hAnsi="Times New Roman"/>
                <w:b/>
                <w:spacing w:val="21"/>
                <w:w w:val="99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по</w:t>
            </w:r>
            <w:r w:rsidRPr="00E947D7">
              <w:rPr>
                <w:rFonts w:ascii="Times New Roman" w:hAnsi="Times New Roman"/>
                <w:b/>
                <w:spacing w:val="-14"/>
                <w:sz w:val="26"/>
                <w:szCs w:val="26"/>
              </w:rPr>
              <w:t xml:space="preserve"> </w:t>
            </w:r>
            <w:r w:rsidRPr="00E947D7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годам)</w:t>
            </w:r>
          </w:p>
        </w:tc>
        <w:tc>
          <w:tcPr>
            <w:tcW w:w="6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42B" w:rsidRPr="00BC2F52" w:rsidRDefault="007E742B" w:rsidP="009B233A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всего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10 530,7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7E742B" w:rsidRPr="00E947D7" w:rsidRDefault="007E742B" w:rsidP="007E742B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4 158,1 тыс. руб.;                                                 2023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3 787,3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тыс. руб.;                                                   2024 год – 809,3 тыс. руб.;                                                      2025 год – 876,6 тыс. руб.;                                                  2026 год – 899,4 тыс. руб</w:t>
            </w:r>
            <w:r w:rsidRPr="00BC2F5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7E742B" w:rsidRPr="00BC2F52" w:rsidRDefault="007E742B" w:rsidP="007E742B">
      <w:pPr>
        <w:widowControl w:val="0"/>
        <w:tabs>
          <w:tab w:val="left" w:pos="1710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7E742B" w:rsidRPr="00094D54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7822B4">
        <w:rPr>
          <w:rFonts w:ascii="Times New Roman" w:eastAsia="Times New Roman" w:hAnsi="Times New Roman"/>
          <w:sz w:val="28"/>
          <w:szCs w:val="28"/>
        </w:rPr>
        <w:t>10 530,7</w:t>
      </w:r>
      <w:r w:rsidRPr="00E947D7">
        <w:rPr>
          <w:rFonts w:ascii="Times New Roman" w:eastAsia="Times New Roman" w:hAnsi="Times New Roman"/>
          <w:sz w:val="28"/>
          <w:szCs w:val="28"/>
        </w:rPr>
        <w:t>тыс. руб. (средств местного бюджета), в том числе:</w:t>
      </w:r>
    </w:p>
    <w:p w:rsidR="007E742B" w:rsidRPr="00BC2F52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7E742B" w:rsidRPr="000B5119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2022 год – 4 158,1 тыс. руб.;</w:t>
      </w:r>
    </w:p>
    <w:p w:rsidR="007E742B" w:rsidRPr="000B5119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7822B4" w:rsidRPr="007822B4">
        <w:rPr>
          <w:rFonts w:ascii="Times New Roman" w:eastAsia="Times New Roman" w:hAnsi="Times New Roman"/>
          <w:sz w:val="28"/>
          <w:szCs w:val="28"/>
        </w:rPr>
        <w:t xml:space="preserve">3 787,3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Pr="000B5119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2024 год – </w:t>
      </w:r>
      <w:r>
        <w:rPr>
          <w:rFonts w:ascii="Times New Roman" w:eastAsia="Times New Roman" w:hAnsi="Times New Roman"/>
          <w:sz w:val="28"/>
          <w:szCs w:val="28"/>
        </w:rPr>
        <w:t>809,3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Pr="000B5119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2025 год – </w:t>
      </w:r>
      <w:r>
        <w:rPr>
          <w:rFonts w:ascii="Times New Roman" w:eastAsia="Times New Roman" w:hAnsi="Times New Roman"/>
          <w:sz w:val="28"/>
          <w:szCs w:val="28"/>
        </w:rPr>
        <w:t>876,6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 xml:space="preserve">2026 год – </w:t>
      </w:r>
      <w:r>
        <w:rPr>
          <w:rFonts w:ascii="Times New Roman" w:eastAsia="Times New Roman" w:hAnsi="Times New Roman"/>
          <w:sz w:val="28"/>
          <w:szCs w:val="28"/>
        </w:rPr>
        <w:t>899,4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 Внести в Приложение № 1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2.1. В Паспорте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</w:t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Севастополя Гагаринский муниципальный округ» строку 9 изложить в следующей редакции:</w:t>
      </w:r>
    </w:p>
    <w:p w:rsidR="007E742B" w:rsidRPr="00094D54" w:rsidRDefault="007E742B" w:rsidP="007E742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tbl>
      <w:tblPr>
        <w:tblW w:w="8915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393"/>
        <w:gridCol w:w="5954"/>
      </w:tblGrid>
      <w:tr w:rsidR="007E742B" w:rsidRPr="00E947D7" w:rsidTr="009B233A">
        <w:trPr>
          <w:trHeight w:hRule="exact" w:val="361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42B" w:rsidRPr="00E947D7" w:rsidRDefault="007E742B" w:rsidP="009B233A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742B" w:rsidRPr="00E947D7" w:rsidRDefault="007E742B" w:rsidP="009B233A">
            <w:pPr>
              <w:widowControl w:val="0"/>
              <w:spacing w:line="276" w:lineRule="auto"/>
              <w:ind w:left="97" w:right="2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B" w:rsidRPr="00BC2F52" w:rsidRDefault="007E742B" w:rsidP="009B233A">
            <w:pPr>
              <w:widowControl w:val="0"/>
              <w:ind w:left="100" w:right="13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 w:rsidR="007822B4">
              <w:rPr>
                <w:rFonts w:ascii="Times New Roman" w:eastAsia="Times New Roman" w:hAnsi="Times New Roman"/>
                <w:sz w:val="28"/>
                <w:szCs w:val="28"/>
              </w:rPr>
              <w:t>8 176,0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</w:p>
          <w:p w:rsidR="007E742B" w:rsidRPr="00E947D7" w:rsidRDefault="007E742B" w:rsidP="007822B4">
            <w:pPr>
              <w:widowControl w:val="0"/>
              <w:ind w:left="100" w:right="226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2022 год – 3 544,6 тыс. руб.;                                                2023 год – </w:t>
            </w:r>
            <w:r w:rsidR="007822B4">
              <w:rPr>
                <w:rFonts w:ascii="Times New Roman" w:eastAsia="Times New Roman" w:hAnsi="Times New Roman"/>
                <w:sz w:val="28"/>
                <w:szCs w:val="28"/>
              </w:rPr>
              <w:t>3 288,7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    2024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420,3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2025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455,3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руб.;                                                </w:t>
            </w:r>
            <w:proofErr w:type="gramStart"/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2026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>год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467,1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7E742B" w:rsidRDefault="007E742B" w:rsidP="007E742B">
      <w:pPr>
        <w:widowControl w:val="0"/>
        <w:tabs>
          <w:tab w:val="left" w:pos="1757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highlight w:val="yellow"/>
          <w:lang w:eastAsia="ru-RU"/>
        </w:rPr>
      </w:pP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2.2. Раздел 4 «Обоснование объема финансовых ресурсов, необходимых для реализации подпрограммы» подпрограммы «Организация местных и участие в организации и проведении городских праздничных и иных зрелищных мероприятий во внутригородском муниципальном образовании города Севастополя Гагаринский муниципальный округ» (далее – подпрограмма) изложить в следующей редакции: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всего </w:t>
      </w:r>
      <w:r w:rsidR="007822B4" w:rsidRPr="007822B4">
        <w:rPr>
          <w:rFonts w:ascii="Times New Roman" w:eastAsia="Times New Roman" w:hAnsi="Times New Roman"/>
          <w:sz w:val="28"/>
          <w:szCs w:val="28"/>
        </w:rPr>
        <w:t xml:space="preserve">8 176,0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числе: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2022 год – 3 544,6 тыс. руб.; 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7822B4" w:rsidRPr="007822B4">
        <w:rPr>
          <w:rFonts w:ascii="Times New Roman" w:eastAsia="Times New Roman" w:hAnsi="Times New Roman"/>
          <w:sz w:val="28"/>
          <w:szCs w:val="28"/>
        </w:rPr>
        <w:t xml:space="preserve">3 288,7 </w:t>
      </w:r>
      <w:r w:rsidRPr="00BC2F52">
        <w:rPr>
          <w:rFonts w:ascii="Times New Roman" w:eastAsia="Times New Roman" w:hAnsi="Times New Roman"/>
          <w:sz w:val="28"/>
          <w:szCs w:val="28"/>
        </w:rPr>
        <w:t xml:space="preserve">тыс. руб.;  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>2024 год – 420,3 тыс. руб.;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C2F52">
        <w:rPr>
          <w:rFonts w:ascii="Times New Roman" w:eastAsia="Times New Roman" w:hAnsi="Times New Roman"/>
          <w:sz w:val="28"/>
          <w:szCs w:val="28"/>
        </w:rPr>
        <w:t xml:space="preserve">2025 год – 455,3 тыс. руб.; 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2026 </w:t>
      </w:r>
      <w:r w:rsidRPr="00BC2F52">
        <w:rPr>
          <w:rFonts w:ascii="Times New Roman" w:eastAsia="Times New Roman" w:hAnsi="Times New Roman"/>
          <w:sz w:val="28"/>
          <w:szCs w:val="28"/>
        </w:rPr>
        <w:t>год – 467,1 тыс. руб.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 Внести в Приложение № 2 к муниципальной программе «Развитие культуры во внутригородском муниципальном образовании города Севастополя Гагаринский муниципальный округ на 2022 - 2026 годы» следующие изменения: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3.1. В Паспорте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строку 9 изложить в следующей редакции:</w:t>
      </w:r>
    </w:p>
    <w:tbl>
      <w:tblPr>
        <w:tblW w:w="9356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535"/>
        <w:gridCol w:w="6253"/>
      </w:tblGrid>
      <w:tr w:rsidR="007E742B" w:rsidRPr="00E947D7" w:rsidTr="009B233A">
        <w:trPr>
          <w:trHeight w:hRule="exact" w:val="35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42B" w:rsidRPr="00E947D7" w:rsidRDefault="007E742B" w:rsidP="009B233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E742B" w:rsidRPr="00E947D7" w:rsidRDefault="007E742B" w:rsidP="009B233A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C2F52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B" w:rsidRPr="00E947D7" w:rsidRDefault="007E742B" w:rsidP="008D60C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подпрограммы всего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8D60C6">
              <w:rPr>
                <w:rFonts w:ascii="Times New Roman" w:eastAsia="Times New Roman" w:hAnsi="Times New Roman"/>
                <w:sz w:val="28"/>
                <w:szCs w:val="28"/>
              </w:rPr>
              <w:t> 354,7</w:t>
            </w:r>
            <w:r w:rsidRPr="00E947D7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 (средств бюджета внутригородским муниципальным образованием города Севастополя Гагаринский муниципальный округ), в том числе: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>2022 год – 613,5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                 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2023 год – </w:t>
            </w:r>
            <w:r w:rsidR="008D60C6">
              <w:rPr>
                <w:rFonts w:ascii="Times New Roman" w:hAnsi="Times New Roman"/>
                <w:spacing w:val="-2"/>
                <w:sz w:val="28"/>
                <w:szCs w:val="28"/>
              </w:rPr>
              <w:t>498,6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389,0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421,3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руб.;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432,3</w:t>
            </w:r>
            <w:r w:rsidRPr="004F282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тыс. руб.</w:t>
            </w:r>
          </w:p>
        </w:tc>
      </w:tr>
    </w:tbl>
    <w:p w:rsidR="007E742B" w:rsidRPr="00E947D7" w:rsidRDefault="007E742B" w:rsidP="007E742B">
      <w:pPr>
        <w:widowControl w:val="0"/>
        <w:tabs>
          <w:tab w:val="left" w:pos="1757"/>
        </w:tabs>
        <w:ind w:firstLine="709"/>
        <w:jc w:val="both"/>
        <w:outlineLvl w:val="1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3.2. Раздел 4 «Обоснование объема финансовых ресурсов, необходимых для реализации подпрограммы» подпрограммы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 (далее – подпрограмма) изложить в следующей редакции: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Общий объем финансирования подпрограммы                                   составляет – </w:t>
      </w:r>
      <w:r w:rsidR="008D60C6" w:rsidRPr="008D60C6">
        <w:rPr>
          <w:rFonts w:ascii="Times New Roman" w:eastAsia="Times New Roman" w:hAnsi="Times New Roman"/>
          <w:sz w:val="28"/>
          <w:szCs w:val="28"/>
        </w:rPr>
        <w:t xml:space="preserve">2 354,7 </w:t>
      </w:r>
      <w:r w:rsidRPr="00E947D7">
        <w:rPr>
          <w:rFonts w:ascii="Times New Roman" w:eastAsia="Times New Roman" w:hAnsi="Times New Roman"/>
          <w:sz w:val="28"/>
          <w:szCs w:val="28"/>
        </w:rPr>
        <w:t>тыс. руб., в том числе по годам: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2022 год – </w:t>
      </w:r>
      <w:r>
        <w:rPr>
          <w:rFonts w:ascii="Times New Roman" w:eastAsia="Times New Roman" w:hAnsi="Times New Roman"/>
          <w:sz w:val="28"/>
          <w:szCs w:val="28"/>
        </w:rPr>
        <w:t>613,5</w:t>
      </w:r>
      <w:r w:rsidRPr="004F2820">
        <w:rPr>
          <w:rFonts w:ascii="Times New Roman" w:eastAsia="Times New Roman" w:hAnsi="Times New Roman"/>
          <w:sz w:val="28"/>
          <w:szCs w:val="28"/>
        </w:rPr>
        <w:t xml:space="preserve"> тыс.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руб.;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2023 год – </w:t>
      </w:r>
      <w:r w:rsidR="008D60C6">
        <w:rPr>
          <w:rFonts w:ascii="Times New Roman" w:hAnsi="Times New Roman"/>
          <w:spacing w:val="-2"/>
          <w:sz w:val="28"/>
          <w:szCs w:val="28"/>
        </w:rPr>
        <w:t>498,6</w:t>
      </w:r>
      <w:r w:rsidR="008D60C6"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2024 год – </w:t>
      </w:r>
      <w:r>
        <w:rPr>
          <w:rFonts w:ascii="Times New Roman" w:hAnsi="Times New Roman"/>
          <w:spacing w:val="-2"/>
          <w:sz w:val="28"/>
          <w:szCs w:val="28"/>
        </w:rPr>
        <w:t>389,0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2025 год – </w:t>
      </w:r>
      <w:r>
        <w:rPr>
          <w:rFonts w:ascii="Times New Roman" w:hAnsi="Times New Roman"/>
          <w:spacing w:val="-2"/>
          <w:sz w:val="28"/>
          <w:szCs w:val="28"/>
        </w:rPr>
        <w:t>421,3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руб.;</w:t>
      </w:r>
    </w:p>
    <w:p w:rsidR="007E742B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2026 год – </w:t>
      </w:r>
      <w:r>
        <w:rPr>
          <w:rFonts w:ascii="Times New Roman" w:hAnsi="Times New Roman"/>
          <w:spacing w:val="-2"/>
          <w:sz w:val="28"/>
          <w:szCs w:val="28"/>
        </w:rPr>
        <w:t>432,3</w:t>
      </w:r>
      <w:r w:rsidRPr="004F28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тыс. руб.</w:t>
      </w:r>
    </w:p>
    <w:p w:rsidR="007E742B" w:rsidRPr="00E947D7" w:rsidRDefault="007E742B" w:rsidP="007E74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Ресурсное обеспечение реализации подпрограммы приведено в приложении № 5 к муниципальной программе.».</w:t>
      </w:r>
    </w:p>
    <w:p w:rsidR="008C0079" w:rsidRPr="00D45019" w:rsidRDefault="00650DFE" w:rsidP="008C00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. Приложения № 4, № 5, № 6 к муниципальной программе изложить в новой редакции согласно приложениям № 1, № 2, № 3</w:t>
      </w:r>
      <w:r w:rsidR="008D60C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C0079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к настоящему постановлению.</w:t>
      </w:r>
    </w:p>
    <w:p w:rsidR="00964257" w:rsidRPr="00D45019" w:rsidRDefault="00650DFE" w:rsidP="00964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64257" w:rsidRPr="00D45019">
        <w:rPr>
          <w:rFonts w:ascii="Times New Roman" w:eastAsia="Times New Roman" w:hAnsi="Times New Roman"/>
          <w:color w:val="000000" w:themeColor="text1"/>
          <w:sz w:val="28"/>
          <w:szCs w:val="28"/>
        </w:rPr>
        <w:t>Настоящее постановление вступает в силу с момента его официального обнародования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F205B" w:rsidRPr="00D45019" w:rsidRDefault="00650DFE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64257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выполнением настоящего постановления возложить на Первого заместителя Главы местной администрации внутригородского </w:t>
      </w:r>
      <w:r w:rsidR="008F205B" w:rsidRPr="00D450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Севастополя Гагаринский муниципальный округ (Ю.В. Иванченко).</w:t>
      </w:r>
    </w:p>
    <w:p w:rsidR="00593FE0" w:rsidRPr="00D45019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1361" w:rsidRPr="00D45019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3521" w:rsidRDefault="00F93521" w:rsidP="00F93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F93521" w:rsidRDefault="00F93521" w:rsidP="00F93521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F93521" w:rsidRPr="00960C63" w:rsidRDefault="00F93521" w:rsidP="00F93521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А.Ю. Ярусов </w:t>
      </w:r>
    </w:p>
    <w:p w:rsidR="00834E4D" w:rsidRPr="00D45019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</w:pPr>
    </w:p>
    <w:p w:rsidR="00C57FB2" w:rsidRPr="00D45019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ar-SA"/>
        </w:rPr>
        <w:sectPr w:rsidR="00C57FB2" w:rsidRPr="00D45019" w:rsidSect="009C55B7">
          <w:headerReference w:type="default" r:id="rId9"/>
          <w:pgSz w:w="11910" w:h="16840"/>
          <w:pgMar w:top="1134" w:right="660" w:bottom="851" w:left="1985" w:header="720" w:footer="720" w:gutter="0"/>
          <w:pgNumType w:start="1"/>
          <w:cols w:space="720"/>
          <w:titlePg/>
          <w:docGrid w:linePitch="299"/>
        </w:sectPr>
      </w:pPr>
    </w:p>
    <w:p w:rsidR="00536680" w:rsidRPr="00D45019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6775D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FF1B65" w:rsidRPr="00D45019" w:rsidRDefault="006B5FC4" w:rsidP="00FF1B65">
      <w:pPr>
        <w:ind w:left="9356" w:firstLine="283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20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октября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61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ПМА</w:t>
      </w:r>
    </w:p>
    <w:p w:rsidR="00EB2661" w:rsidRPr="00D45019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Сведения</w:t>
      </w:r>
    </w:p>
    <w:p w:rsidR="00EB2661" w:rsidRPr="00D45019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o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показателях (индикаторах) муниципальной программы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«Развитие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во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 xml:space="preserve"> внутригородском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муниципальном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образовании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города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13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Севастополя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муниципальный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округ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на 20</w:t>
      </w:r>
      <w:r w:rsidR="00B04334"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22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 xml:space="preserve"> год – 202</w:t>
      </w:r>
      <w:r w:rsidR="00B04334"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>6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1"/>
          <w:sz w:val="26"/>
          <w:szCs w:val="26"/>
        </w:rPr>
        <w:t xml:space="preserve"> годы»</w:t>
      </w: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,</w:t>
      </w:r>
    </w:p>
    <w:p w:rsidR="00EB2661" w:rsidRPr="00D45019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</w:pPr>
      <w:r w:rsidRPr="00D45019">
        <w:rPr>
          <w:rFonts w:ascii="Times New Roman" w:eastAsia="Calibri" w:hAnsi="Times New Roman" w:cs="Times New Roman"/>
          <w:b/>
          <w:color w:val="000000" w:themeColor="text1"/>
          <w:spacing w:val="-2"/>
          <w:sz w:val="26"/>
          <w:szCs w:val="26"/>
        </w:rPr>
        <w:t>подпрограмм муниципальной программы</w:t>
      </w:r>
    </w:p>
    <w:p w:rsidR="00EB2661" w:rsidRPr="00D45019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4250"/>
        <w:gridCol w:w="4255"/>
        <w:gridCol w:w="992"/>
        <w:gridCol w:w="851"/>
        <w:gridCol w:w="992"/>
        <w:gridCol w:w="851"/>
        <w:gridCol w:w="992"/>
        <w:gridCol w:w="992"/>
      </w:tblGrid>
      <w:tr w:rsidR="00D45019" w:rsidRPr="00D45019" w:rsidTr="001F4F95">
        <w:trPr>
          <w:trHeight w:hRule="exact" w:val="330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D4501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</w:rPr>
              <w:t>цели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Показатель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8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0"/>
              </w:rPr>
              <w:t>(индикатор)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6"/>
                <w:sz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D45019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Значения показателей</w:t>
            </w:r>
          </w:p>
        </w:tc>
      </w:tr>
      <w:tr w:rsidR="00D45019" w:rsidRPr="00D45019" w:rsidTr="001F4F95">
        <w:trPr>
          <w:trHeight w:hRule="exact" w:val="533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</w:rPr>
              <w:t>2026 год</w:t>
            </w:r>
          </w:p>
        </w:tc>
      </w:tr>
      <w:tr w:rsidR="00D45019" w:rsidRPr="00D45019" w:rsidTr="001F4F95">
        <w:trPr>
          <w:trHeight w:hRule="exact" w:val="29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D45019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22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-202</w:t>
            </w:r>
            <w:r w:rsidR="00B04334"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6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годы»</w:t>
            </w:r>
            <w:r w:rsidR="00B04334" w:rsidRPr="00D45019">
              <w:rPr>
                <w:rFonts w:ascii="Times New Roman" w:eastAsia="Calibri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D45019" w:rsidRPr="00D45019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Подпрограмма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«Организация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местных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участие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в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организации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7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проведении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городских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праздничных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</w:rPr>
              <w:t>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иных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зрелищных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мероприятиях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5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7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6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5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округ»</w:t>
            </w:r>
          </w:p>
        </w:tc>
      </w:tr>
      <w:tr w:rsidR="00D45019" w:rsidRPr="00D45019" w:rsidTr="001F4F95">
        <w:trPr>
          <w:trHeight w:hRule="exact" w:val="11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Цель: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5"/>
              </w:rPr>
              <w:t xml:space="preserve"> </w:t>
            </w:r>
            <w:r w:rsidR="00CF2BE8" w:rsidRPr="00D45019">
              <w:rPr>
                <w:rFonts w:ascii="Times New Roman" w:eastAsia="Calibri" w:hAnsi="Times New Roman" w:cs="Times New Roman"/>
                <w:color w:val="000000" w:themeColor="text1"/>
                <w:spacing w:val="-15"/>
              </w:rPr>
              <w:t xml:space="preserve">-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Создание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3"/>
              </w:rPr>
              <w:t>условий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для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развития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культуры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3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7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округ</w:t>
            </w:r>
            <w:r w:rsidR="00CF2BE8"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;</w:t>
            </w:r>
          </w:p>
          <w:p w:rsidR="00CF2BE8" w:rsidRPr="00D45019" w:rsidRDefault="00CF2BE8" w:rsidP="003321A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 xml:space="preserve">        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- Успешная социальная и культурная адаптация и интеграция мигрантов во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1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внутригородском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3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муниципальном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7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образовании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2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округ</w:t>
            </w:r>
          </w:p>
        </w:tc>
      </w:tr>
      <w:tr w:rsidR="00D45019" w:rsidRPr="00D45019" w:rsidTr="001F4F95">
        <w:trPr>
          <w:trHeight w:hRule="exact"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Задачи:</w:t>
            </w:r>
          </w:p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</w:p>
        </w:tc>
      </w:tr>
      <w:tr w:rsidR="00D45019" w:rsidRPr="00D45019" w:rsidTr="001F4F95">
        <w:trPr>
          <w:trHeight w:hRule="exact" w:val="8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A1B09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1"/>
                <w:szCs w:val="21"/>
              </w:rPr>
            </w:pPr>
            <w:r w:rsidRPr="00EA1B0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1"/>
                <w:szCs w:val="21"/>
              </w:rPr>
              <w:t>Поддержка деятельности творческих коллективов</w:t>
            </w: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A1B09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1"/>
                <w:szCs w:val="21"/>
              </w:rPr>
            </w:pPr>
            <w:r w:rsidRPr="00EA1B09">
              <w:rPr>
                <w:rFonts w:ascii="Times New Roman" w:eastAsia="Calibri" w:hAnsi="Times New Roman" w:cs="Times New Roman"/>
                <w:color w:val="000000" w:themeColor="text1"/>
                <w:spacing w:val="-1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8965FD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107</w:t>
            </w:r>
            <w:r w:rsidR="00B04334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190234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120</w:t>
            </w:r>
            <w:r w:rsidR="00A17933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E741A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</w:tr>
      <w:tr w:rsidR="00D45019" w:rsidRPr="00D45019" w:rsidTr="001F4F95">
        <w:trPr>
          <w:trHeight w:hRule="exact" w:val="11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A1B09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A1B09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8965FD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060FE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7E741A" w:rsidP="004060FE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4060FE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D45019" w:rsidRPr="00D45019" w:rsidTr="001F4F95">
        <w:trPr>
          <w:trHeight w:hRule="exact" w:val="565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A1B09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A1B09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color w:val="000000" w:themeColor="text1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D45019" w:rsidRPr="00D45019" w:rsidTr="00D45019">
        <w:trPr>
          <w:trHeight w:hRule="exact" w:val="858"/>
          <w:jc w:val="center"/>
        </w:trPr>
        <w:tc>
          <w:tcPr>
            <w:tcW w:w="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321A1" w:rsidRPr="00D45019" w:rsidRDefault="003321A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321A1" w:rsidRPr="00EA1B09" w:rsidRDefault="003321A1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A1" w:rsidRPr="00EA1B09" w:rsidRDefault="003321A1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A1B0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A1" w:rsidRPr="008965FD" w:rsidRDefault="003321A1" w:rsidP="003321A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3321A1" w:rsidP="003321A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1A1" w:rsidRPr="008965FD" w:rsidRDefault="004060FE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D45019" w:rsidRPr="00D45019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lastRenderedPageBreak/>
              <w:t>Подпрограмма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«Осуществление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2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</w:rPr>
              <w:t>военно-патриотического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0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воспитания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46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граждан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Российской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Федерации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на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8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территории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внутригородского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8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муниципального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образования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города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4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Севастополя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2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Гагаринский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23"/>
                <w:w w:val="99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муниципальный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33"/>
              </w:rPr>
              <w:t xml:space="preserve"> </w:t>
            </w:r>
            <w:r w:rsidRPr="00D45019"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  <w:t>округ»</w:t>
            </w:r>
          </w:p>
        </w:tc>
      </w:tr>
      <w:tr w:rsidR="00D45019" w:rsidRPr="00D45019" w:rsidTr="001F4F95">
        <w:trPr>
          <w:trHeight w:hRule="exact" w:val="559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D45019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D45019" w:rsidRPr="00D45019" w:rsidTr="001F4F95">
        <w:trPr>
          <w:trHeight w:hRule="exact" w:val="319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2"/>
              </w:rPr>
              <w:t>Задачи:</w:t>
            </w:r>
          </w:p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D45019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</w:p>
        </w:tc>
      </w:tr>
      <w:tr w:rsidR="00D45019" w:rsidRPr="00D45019" w:rsidTr="001F4F95">
        <w:trPr>
          <w:trHeight w:hRule="exact" w:val="1244"/>
          <w:jc w:val="center"/>
        </w:trPr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2.1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D45019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D45019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8965FD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30B49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430B49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B0433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B04334" w:rsidP="008A1F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8A1F64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D45019" w:rsidRPr="00D45019" w:rsidTr="001F4F95">
        <w:trPr>
          <w:trHeight w:hRule="exact" w:val="1096"/>
          <w:jc w:val="center"/>
        </w:trPr>
        <w:tc>
          <w:tcPr>
            <w:tcW w:w="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2.2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D45019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pacing w:val="-1"/>
              </w:rPr>
            </w:pPr>
            <w:r w:rsidRPr="00D45019">
              <w:rPr>
                <w:rFonts w:ascii="Times New Roman" w:eastAsia="Calibri" w:hAnsi="Times New Roman" w:cs="Times New Roman"/>
                <w:color w:val="000000" w:themeColor="text1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8965FD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8965FD" w:rsidRDefault="008A1F64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EB2661" w:rsidRPr="00D45019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190234" w:rsidRPr="00190234" w:rsidRDefault="00190234" w:rsidP="001902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внутригородского муниципального образования,</w:t>
      </w:r>
    </w:p>
    <w:p w:rsidR="00190234" w:rsidRPr="00190234" w:rsidRDefault="00190234" w:rsidP="001902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полномочия председателя Совета,</w:t>
      </w:r>
    </w:p>
    <w:p w:rsidR="00430FF4" w:rsidRDefault="00190234" w:rsidP="001902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0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местной администрации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902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А.Ю. Ярусов</w:t>
      </w:r>
    </w:p>
    <w:p w:rsidR="00190234" w:rsidRPr="00D45019" w:rsidRDefault="00190234" w:rsidP="00190234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:rsidR="00E753D0" w:rsidRPr="00D45019" w:rsidRDefault="00E753D0" w:rsidP="00430FF4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ectPr w:rsidR="00E753D0" w:rsidRPr="00D45019" w:rsidSect="00964257">
          <w:footerReference w:type="default" r:id="rId10"/>
          <w:pgSz w:w="16838" w:h="11906" w:orient="landscape"/>
          <w:pgMar w:top="993" w:right="992" w:bottom="0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Pr="00D45019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D46C64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FF1B65" w:rsidRPr="00D45019" w:rsidRDefault="006B5FC4" w:rsidP="00FF1B65">
      <w:pPr>
        <w:ind w:left="10206" w:hanging="567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20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октября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61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ПМА</w:t>
      </w:r>
    </w:p>
    <w:p w:rsidR="00C604D5" w:rsidRPr="00D45019" w:rsidRDefault="00C604D5" w:rsidP="00C604D5">
      <w:pPr>
        <w:widowControl w:val="0"/>
        <w:spacing w:after="0" w:line="240" w:lineRule="auto"/>
        <w:ind w:left="518" w:firstLine="228"/>
        <w:jc w:val="center"/>
        <w:rPr>
          <w:rFonts w:ascii="Times New Roman" w:eastAsia="Calibri" w:hAnsi="Times New Roman" w:cs="Times New Roman"/>
          <w:b/>
          <w:color w:val="000000" w:themeColor="text1"/>
          <w:spacing w:val="-1"/>
          <w:sz w:val="16"/>
          <w:szCs w:val="16"/>
        </w:rPr>
      </w:pPr>
    </w:p>
    <w:p w:rsidR="00E753D0" w:rsidRPr="00D45019" w:rsidRDefault="00E753D0" w:rsidP="007C719A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Ресурсное обеспечение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прогнозная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(справочная)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оценка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расходов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на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реализацию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целей муниципальной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программы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«Развитие</w:t>
      </w:r>
      <w:r w:rsidRPr="00D45019">
        <w:rPr>
          <w:rFonts w:ascii="Times New Roman" w:hAnsi="Times New Roman"/>
          <w:b/>
          <w:color w:val="000000" w:themeColor="text1"/>
          <w:spacing w:val="67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образовании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 Севастополя</w:t>
      </w:r>
      <w:r w:rsidRPr="00D45019">
        <w:rPr>
          <w:rFonts w:ascii="Times New Roman" w:hAnsi="Times New Roman"/>
          <w:b/>
          <w:color w:val="000000" w:themeColor="text1"/>
          <w:spacing w:val="-3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округ на 20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22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- 202</w:t>
      </w:r>
      <w:r w:rsidR="00B559E7"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6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годы», подпрограмм муниципальной программы по источникам финансирования</w:t>
      </w:r>
    </w:p>
    <w:tbl>
      <w:tblPr>
        <w:tblpPr w:leftFromText="180" w:rightFromText="180" w:bottomFromText="160" w:vertAnchor="text" w:tblpX="25" w:tblpY="1"/>
        <w:tblOverlap w:val="never"/>
        <w:tblW w:w="14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5"/>
        <w:gridCol w:w="1707"/>
        <w:gridCol w:w="1849"/>
        <w:gridCol w:w="2135"/>
        <w:gridCol w:w="709"/>
        <w:gridCol w:w="710"/>
        <w:gridCol w:w="710"/>
        <w:gridCol w:w="710"/>
        <w:gridCol w:w="717"/>
      </w:tblGrid>
      <w:tr w:rsidR="00D45019" w:rsidRPr="00D45019" w:rsidTr="00411C37">
        <w:trPr>
          <w:trHeight w:hRule="exact" w:val="567"/>
          <w:tblHeader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753D0" w:rsidRPr="00D45019" w:rsidRDefault="00E753D0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3D0" w:rsidRPr="00D45019" w:rsidRDefault="00E753D0" w:rsidP="00411C37">
            <w:pPr>
              <w:widowControl w:val="0"/>
              <w:ind w:left="81" w:right="76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3"/>
          <w:tblHeader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9E7" w:rsidRPr="00D45019" w:rsidRDefault="00B559E7" w:rsidP="00411C37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30"/>
          <w:tblHeader/>
        </w:trPr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411C37">
        <w:trPr>
          <w:trHeight w:hRule="exact" w:val="454"/>
        </w:trPr>
        <w:tc>
          <w:tcPr>
            <w:tcW w:w="5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 w:rsidRPr="00D45019">
              <w:rPr>
                <w:rFonts w:ascii="Times New Roman" w:hAnsi="Times New Roman"/>
                <w:color w:val="000000" w:themeColor="text1"/>
                <w:spacing w:val="1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2022 – 2026 годы</w:t>
            </w:r>
          </w:p>
        </w:tc>
        <w:tc>
          <w:tcPr>
            <w:tcW w:w="1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282D4E" w:rsidRDefault="00282D4E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59E7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270"/>
        </w:trPr>
        <w:tc>
          <w:tcPr>
            <w:tcW w:w="53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7B8B" w:rsidRPr="00D45019" w:rsidRDefault="00AA7B8B" w:rsidP="00411C37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282D4E" w:rsidRDefault="00282D4E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809,3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876,6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7B8B" w:rsidRPr="00D45019" w:rsidRDefault="00AA7B8B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899,4</w:t>
            </w:r>
          </w:p>
        </w:tc>
      </w:tr>
      <w:tr w:rsidR="00D45019" w:rsidRPr="00D45019" w:rsidTr="00411C37">
        <w:trPr>
          <w:trHeight w:hRule="exact" w:val="54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9F4583" w:rsidRDefault="00282D4E" w:rsidP="009F458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hRule="exact" w:val="38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12" w:rsidRPr="00D45019" w:rsidRDefault="00563912" w:rsidP="00411C37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12" w:rsidRPr="00D45019" w:rsidRDefault="00563912" w:rsidP="00411C3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9F4583" w:rsidRDefault="00282D4E" w:rsidP="009F4583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455,3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912" w:rsidRPr="00D45019" w:rsidRDefault="00563912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467,1</w:t>
            </w:r>
          </w:p>
        </w:tc>
      </w:tr>
      <w:tr w:rsidR="00D45019" w:rsidRPr="00D45019" w:rsidTr="00411C37">
        <w:trPr>
          <w:trHeight w:val="27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Мероприятия, посвященные </w:t>
            </w:r>
            <w:r w:rsidR="00C942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празднованию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Дня возвращения города Севастополя в Россию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9F45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9F4583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575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F1" w:rsidRPr="00D45019" w:rsidRDefault="00C721F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83,2</w:t>
            </w:r>
          </w:p>
        </w:tc>
      </w:tr>
      <w:tr w:rsidR="00D45019" w:rsidRPr="00D45019" w:rsidTr="00411C37">
        <w:trPr>
          <w:trHeight w:val="31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</w:t>
            </w:r>
            <w:r w:rsidR="00B559E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роприятия, посвященные Международному женскому дню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6B1B67">
        <w:trPr>
          <w:trHeight w:hRule="exact" w:val="68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68" w:rsidRPr="00D45019" w:rsidRDefault="000D4D68" w:rsidP="00411C37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68" w:rsidRPr="00D45019" w:rsidRDefault="000D4D6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82,2</w:t>
            </w:r>
          </w:p>
        </w:tc>
      </w:tr>
      <w:tr w:rsidR="00D45019" w:rsidRPr="00D45019" w:rsidTr="00411C37">
        <w:trPr>
          <w:trHeight w:val="1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hRule="exact" w:val="386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039E5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187,2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194,7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AC" w:rsidRPr="00D45019" w:rsidRDefault="008E59AC" w:rsidP="00411C37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199,8</w:t>
            </w:r>
          </w:p>
        </w:tc>
      </w:tr>
      <w:tr w:rsidR="00D45019" w:rsidRPr="00D45019" w:rsidTr="00411C37">
        <w:trPr>
          <w:trHeight w:val="53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95" w:rsidRPr="00D45019" w:rsidRDefault="00C6349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C6349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95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0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8" w:rsidRPr="00D45019" w:rsidRDefault="004C45D8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71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hRule="exact" w:val="54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hRule="exact" w:val="273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45" w:rsidRPr="00D45019" w:rsidRDefault="00124345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D45019" w:rsidRPr="00D45019" w:rsidTr="005039E5">
        <w:trPr>
          <w:trHeight w:hRule="exact" w:val="44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43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3,1</w:t>
            </w:r>
          </w:p>
        </w:tc>
      </w:tr>
      <w:tr w:rsidR="00D45019" w:rsidRPr="00D45019" w:rsidTr="00411C37">
        <w:trPr>
          <w:trHeight w:hRule="exact" w:val="27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D8266D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6D" w:rsidRPr="00D45019" w:rsidRDefault="00D8266D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D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39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79C" w:rsidRPr="00D45019" w:rsidRDefault="0084579C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84579C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96,4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9C" w:rsidRPr="00D45019" w:rsidRDefault="004D428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98,8</w:t>
            </w:r>
          </w:p>
        </w:tc>
      </w:tr>
      <w:tr w:rsidR="00D45019" w:rsidRPr="00D45019" w:rsidTr="00411C37">
        <w:trPr>
          <w:trHeight w:hRule="exact" w:val="2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hRule="exact" w:val="48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7A" w:rsidRPr="00D45019" w:rsidRDefault="00196B7A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5039E5">
        <w:trPr>
          <w:trHeight w:hRule="exact" w:val="292"/>
        </w:trPr>
        <w:tc>
          <w:tcPr>
            <w:tcW w:w="5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5039E5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1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1" w:rsidRPr="00D45019" w:rsidRDefault="007B3FD1" w:rsidP="007B3FD1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6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E3" w:rsidRPr="00D45019" w:rsidRDefault="00B852E3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3" w:rsidRPr="00D45019" w:rsidRDefault="00B852E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417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4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17" w:rsidRPr="00D45019" w:rsidRDefault="00602117" w:rsidP="00411C3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5039E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</w:t>
            </w:r>
            <w:r w:rsidR="00602117"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17" w:rsidRPr="00D45019" w:rsidRDefault="0060211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41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01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38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311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282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575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5039E5">
        <w:trPr>
          <w:trHeight w:hRule="exact" w:val="44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1 665,5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hRule="exact" w:val="503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1 665,5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C3" w:rsidRPr="00D45019" w:rsidRDefault="004541C3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92533B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5039E5">
        <w:trPr>
          <w:trHeight w:hRule="exact" w:val="714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8965FD">
        <w:trPr>
          <w:trHeight w:hRule="exact" w:val="270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9E5" w:rsidRPr="00D45019" w:rsidRDefault="005039E5" w:rsidP="005039E5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5039E5">
        <w:trPr>
          <w:trHeight w:hRule="exact" w:val="439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D45019" w:rsidRDefault="00B559E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E7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hRule="exact" w:val="537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DE" w:rsidRPr="00D45019" w:rsidRDefault="005A12D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28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28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73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238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8965FD">
        <w:trPr>
          <w:trHeight w:val="297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282D4E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389,0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421,3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432,3</w:t>
            </w:r>
          </w:p>
        </w:tc>
      </w:tr>
      <w:tr w:rsidR="00D45019" w:rsidRPr="00D45019" w:rsidTr="00411C37">
        <w:trPr>
          <w:trHeight w:val="306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310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0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7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8965FD">
        <w:trPr>
          <w:trHeight w:val="178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364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52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691" w:rsidRPr="00D45019" w:rsidRDefault="00566691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691" w:rsidRPr="00D45019" w:rsidRDefault="00566691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1" w:rsidRPr="008965FD" w:rsidRDefault="00566691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D45019" w:rsidRPr="00D45019" w:rsidTr="00411C37">
        <w:trPr>
          <w:trHeight w:val="135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69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D45019" w:rsidRDefault="009828B5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5" w:rsidRPr="008965FD" w:rsidRDefault="009828B5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FC4628">
        <w:trPr>
          <w:trHeight w:val="591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Оценка</w:t>
            </w:r>
            <w:r w:rsidRPr="00D45019">
              <w:rPr>
                <w:rFonts w:ascii="Times New Roman" w:hAnsi="Times New Roman"/>
                <w:color w:val="000000" w:themeColor="text1"/>
                <w:spacing w:val="-8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расходов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годам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реализации</w:t>
            </w:r>
            <w:r w:rsidRPr="00D45019">
              <w:rPr>
                <w:rFonts w:ascii="Times New Roman" w:hAnsi="Times New Roman"/>
                <w:color w:val="000000" w:themeColor="text1"/>
                <w:spacing w:val="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(тыс.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руб.)</w:t>
            </w:r>
          </w:p>
        </w:tc>
      </w:tr>
      <w:tr w:rsidR="00D45019" w:rsidRPr="00D45019" w:rsidTr="00411C37">
        <w:trPr>
          <w:trHeight w:val="690"/>
        </w:trPr>
        <w:tc>
          <w:tcPr>
            <w:tcW w:w="5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2026 год</w:t>
            </w:r>
          </w:p>
        </w:tc>
      </w:tr>
      <w:tr w:rsidR="00D45019" w:rsidRPr="00D45019" w:rsidTr="00411C37">
        <w:trPr>
          <w:trHeight w:val="224"/>
        </w:trPr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9</w:t>
            </w:r>
          </w:p>
        </w:tc>
      </w:tr>
      <w:tr w:rsidR="00D45019" w:rsidRPr="00D45019" w:rsidTr="00411C37">
        <w:trPr>
          <w:trHeight w:val="400"/>
        </w:trPr>
        <w:tc>
          <w:tcPr>
            <w:tcW w:w="5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D45019" w:rsidRPr="00D45019" w:rsidTr="00411C37">
        <w:trPr>
          <w:trHeight w:val="274"/>
        </w:trPr>
        <w:tc>
          <w:tcPr>
            <w:tcW w:w="5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C37" w:rsidRPr="00D45019" w:rsidRDefault="00411C37" w:rsidP="00411C3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37" w:rsidRPr="00D45019" w:rsidRDefault="00411C37" w:rsidP="00411C3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1C37" w:rsidRPr="00D45019" w:rsidRDefault="00411C37" w:rsidP="00C604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4583" w:rsidRPr="009F4583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9F4583" w:rsidRPr="009F4583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полномочия председателя Совета,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D57A7" w:rsidRPr="00D45019" w:rsidRDefault="009F4583" w:rsidP="009F45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местной администрации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А.Ю. Ярусов</w:t>
      </w:r>
    </w:p>
    <w:p w:rsidR="00D64B55" w:rsidRPr="00D45019" w:rsidRDefault="00D64B55" w:rsidP="008D57A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D64B55" w:rsidRPr="00D45019" w:rsidSect="009B233A">
          <w:pgSz w:w="16838" w:h="11906" w:orient="landscape"/>
          <w:pgMar w:top="993" w:right="992" w:bottom="142" w:left="1134" w:header="709" w:footer="709" w:gutter="0"/>
          <w:pgNumType w:start="1"/>
          <w:cols w:space="708"/>
          <w:titlePg/>
          <w:docGrid w:linePitch="360"/>
        </w:sectPr>
      </w:pPr>
    </w:p>
    <w:p w:rsidR="005E3EC2" w:rsidRPr="00D45019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Приложение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424A4C"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D45019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постановлению местной администрации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внутригородского муниципального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образования</w:t>
      </w:r>
      <w:r w:rsidRPr="00D45019">
        <w:rPr>
          <w:rFonts w:ascii="Times New Roman" w:eastAsia="Calibri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города</w:t>
      </w:r>
      <w:r w:rsidRPr="00D45019">
        <w:rPr>
          <w:rFonts w:ascii="Times New Roman" w:eastAsia="Calibri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Севастополя</w:t>
      </w:r>
      <w:r w:rsidRPr="00D45019">
        <w:rPr>
          <w:rFonts w:ascii="Times New Roman" w:eastAsia="Calibri" w:hAnsi="Times New Roman" w:cs="Times New Roman"/>
          <w:color w:val="000000" w:themeColor="text1"/>
          <w:spacing w:val="39"/>
          <w:w w:val="99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Гагаринский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муниципальный</w:t>
      </w:r>
      <w:r w:rsidRPr="00D45019">
        <w:rPr>
          <w:rFonts w:ascii="Times New Roman" w:eastAsia="Calibri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D45019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>округ</w:t>
      </w:r>
      <w:r w:rsidRPr="00D45019">
        <w:rPr>
          <w:rFonts w:ascii="Times New Roman" w:eastAsia="Calibri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</w:p>
    <w:p w:rsidR="00424A4C" w:rsidRPr="00D45019" w:rsidRDefault="006B5FC4" w:rsidP="00424A4C">
      <w:pPr>
        <w:ind w:left="10206" w:hanging="567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</w:rPr>
      </w:pP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от «</w:t>
      </w:r>
      <w:r>
        <w:rPr>
          <w:rFonts w:ascii="Times New Roman" w:eastAsia="Times New Roman" w:hAnsi="Times New Roman"/>
          <w:spacing w:val="-2"/>
          <w:sz w:val="24"/>
          <w:szCs w:val="24"/>
        </w:rPr>
        <w:t>20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октября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20</w:t>
      </w:r>
      <w:r>
        <w:rPr>
          <w:rFonts w:ascii="Times New Roman" w:eastAsia="Times New Roman" w:hAnsi="Times New Roman"/>
          <w:spacing w:val="-2"/>
          <w:sz w:val="24"/>
          <w:szCs w:val="24"/>
        </w:rPr>
        <w:t>23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 xml:space="preserve"> г. № </w:t>
      </w:r>
      <w:r>
        <w:rPr>
          <w:rFonts w:ascii="Times New Roman" w:eastAsia="Times New Roman" w:hAnsi="Times New Roman"/>
          <w:spacing w:val="-2"/>
          <w:sz w:val="24"/>
          <w:szCs w:val="24"/>
        </w:rPr>
        <w:t>61</w:t>
      </w:r>
      <w:bookmarkStart w:id="1" w:name="_GoBack"/>
      <w:bookmarkEnd w:id="1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5356C8">
        <w:rPr>
          <w:rFonts w:ascii="Times New Roman" w:eastAsia="Times New Roman" w:hAnsi="Times New Roman"/>
          <w:spacing w:val="-2"/>
          <w:sz w:val="24"/>
          <w:szCs w:val="24"/>
        </w:rPr>
        <w:t>ПМА</w:t>
      </w:r>
    </w:p>
    <w:p w:rsidR="00EC7F0C" w:rsidRPr="00D45019" w:rsidRDefault="00EC7F0C" w:rsidP="00EC7F0C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Планируемые результаты реализации</w:t>
      </w:r>
    </w:p>
    <w:p w:rsidR="00EC7F0C" w:rsidRPr="00D45019" w:rsidRDefault="00EC7F0C" w:rsidP="002C7198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программы «Развитие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119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 образовании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Севастополя 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округ</w:t>
      </w:r>
      <w:r w:rsidRPr="00D4501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на 20</w:t>
      </w:r>
      <w:r w:rsidR="00A279B9" w:rsidRPr="00D45019">
        <w:rPr>
          <w:rFonts w:ascii="Times New Roman" w:hAnsi="Times New Roman"/>
          <w:b/>
          <w:color w:val="000000" w:themeColor="text1"/>
          <w:sz w:val="26"/>
          <w:szCs w:val="26"/>
        </w:rPr>
        <w:t>22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- 202</w:t>
      </w:r>
      <w:r w:rsidR="00A279B9" w:rsidRPr="00D45019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годы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»</w:t>
      </w:r>
    </w:p>
    <w:p w:rsidR="002C7198" w:rsidRPr="00D45019" w:rsidRDefault="002C7198" w:rsidP="002C7198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261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D45019" w:rsidRPr="00D45019" w:rsidTr="00724B32">
        <w:trPr>
          <w:cantSplit/>
          <w:trHeight w:hRule="exact" w:val="580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D45019" w:rsidRPr="00D45019" w:rsidTr="00724B32">
        <w:trPr>
          <w:cantSplit/>
          <w:trHeight w:val="270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-</w:t>
            </w:r>
          </w:p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D45019" w:rsidRPr="00D45019" w:rsidTr="00724B32">
        <w:trPr>
          <w:cantSplit/>
          <w:trHeight w:hRule="exact" w:val="527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D45019" w:rsidRPr="00D45019" w:rsidTr="00724B32">
        <w:trPr>
          <w:cantSplit/>
          <w:trHeight w:hRule="exact" w:val="270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D45019" w:rsidRPr="00D45019" w:rsidTr="00724B32">
        <w:trPr>
          <w:trHeight w:val="302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2C7198" w:rsidRPr="00D45019" w:rsidRDefault="002C7198" w:rsidP="00A279B9">
            <w:pPr>
              <w:widowControl w:val="0"/>
              <w:ind w:right="-567" w:hanging="575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A279B9"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22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- 202</w:t>
            </w:r>
            <w:r w:rsidR="00A279B9"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годы»</w:t>
            </w:r>
          </w:p>
        </w:tc>
      </w:tr>
      <w:tr w:rsidR="00D45019" w:rsidRPr="00D45019" w:rsidTr="00724B32">
        <w:trPr>
          <w:trHeight w:hRule="exact" w:val="73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D45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D45019" w:rsidRPr="00D45019" w:rsidTr="0092533B">
        <w:trPr>
          <w:trHeight w:hRule="exact" w:val="58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24A4C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22197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3 288,7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420,3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455,3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467,1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724B32" w:rsidRPr="00D45019" w:rsidRDefault="00724B32" w:rsidP="00424A4C">
            <w:pPr>
              <w:widowControl w:val="0"/>
              <w:ind w:left="61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10700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8965FD" w:rsidRDefault="0022197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120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80</w:t>
            </w:r>
            <w:r w:rsidR="00724B32"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00</w:t>
            </w:r>
          </w:p>
        </w:tc>
      </w:tr>
      <w:tr w:rsidR="00D45019" w:rsidRPr="00D45019" w:rsidTr="0092533B">
        <w:trPr>
          <w:trHeight w:val="45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E77EC0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E77EC0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77EC0"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D45019" w:rsidRPr="00D45019" w:rsidTr="0092533B">
        <w:trPr>
          <w:trHeight w:val="105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5019" w:rsidRPr="00D45019" w:rsidTr="00724B32">
        <w:trPr>
          <w:trHeight w:val="555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724B32" w:rsidRPr="00D45019" w:rsidRDefault="00724B32" w:rsidP="0092533B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45019" w:rsidRPr="00D45019" w:rsidTr="00D45019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4B32" w:rsidRPr="00D45019" w:rsidRDefault="00724B32" w:rsidP="004152D4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24B32" w:rsidRPr="00D45019" w:rsidRDefault="00724B32" w:rsidP="004152D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4B32" w:rsidRPr="00D45019" w:rsidRDefault="00724B32" w:rsidP="004152D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D45019" w:rsidRDefault="00724B32" w:rsidP="00724B3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724B32" w:rsidP="00724B3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24B32" w:rsidRPr="008965FD" w:rsidRDefault="00E77EC0" w:rsidP="00D45019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D45019" w:rsidRPr="00D45019" w:rsidTr="00724B32">
        <w:trPr>
          <w:trHeight w:val="5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</w:t>
            </w:r>
            <w:r w:rsidRPr="00D45019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направленные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</w:t>
            </w:r>
            <w:r w:rsidRPr="00D45019">
              <w:rPr>
                <w:rFonts w:ascii="Times New Roman" w:hAnsi="Times New Roman"/>
                <w:color w:val="000000" w:themeColor="text1"/>
                <w:spacing w:val="3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достижение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</w:t>
            </w:r>
            <w:r w:rsidRPr="00D45019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D45019" w:rsidRPr="00D45019" w:rsidTr="00724B32">
        <w:trPr>
          <w:trHeight w:val="240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D45019" w:rsidRPr="00D45019" w:rsidTr="00724B32">
        <w:trPr>
          <w:trHeight w:val="435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</w:tr>
      <w:tr w:rsidR="00D45019" w:rsidRPr="00D45019" w:rsidTr="00724B32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B9" w:rsidRPr="00D45019" w:rsidRDefault="00A279B9" w:rsidP="00A279B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D45019" w:rsidRPr="00D45019" w:rsidTr="00724B32">
        <w:trPr>
          <w:trHeight w:val="59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2.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F0C" w:rsidRPr="00D45019" w:rsidRDefault="00EC7F0C" w:rsidP="004152D4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D45019" w:rsidRPr="00D45019" w:rsidTr="008965FD">
        <w:trPr>
          <w:trHeight w:val="125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8965FD" w:rsidRDefault="00221972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421,3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24A4C" w:rsidRPr="00D45019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424A4C" w:rsidRPr="00D45019" w:rsidRDefault="00424A4C" w:rsidP="00424A4C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11C3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1C37"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D45019" w:rsidRPr="00D45019" w:rsidTr="00724B32">
        <w:trPr>
          <w:trHeight w:val="18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24A4C" w:rsidRPr="00D45019" w:rsidRDefault="00424A4C" w:rsidP="00424A4C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4C" w:rsidRPr="00D45019" w:rsidRDefault="00424A4C" w:rsidP="00424A4C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24A4C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A4C" w:rsidRPr="008965FD" w:rsidRDefault="00411C37" w:rsidP="00424A4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</w:tbl>
    <w:p w:rsidR="00E17DB4" w:rsidRPr="00D45019" w:rsidRDefault="00E17DB4" w:rsidP="00B822A5">
      <w:pPr>
        <w:widowControl w:val="0"/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</w:p>
    <w:p w:rsidR="00EE55A3" w:rsidRPr="009F4583" w:rsidRDefault="00EC7F0C" w:rsidP="00EE55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hAnsi="Times New Roman"/>
          <w:color w:val="000000" w:themeColor="text1"/>
          <w:spacing w:val="-1"/>
          <w:sz w:val="24"/>
          <w:szCs w:val="24"/>
        </w:rPr>
        <w:br w:type="textWrapping" w:clear="all"/>
      </w:r>
      <w:r w:rsidR="00EE55A3"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EE55A3" w:rsidRPr="009F4583" w:rsidRDefault="00EE55A3" w:rsidP="00EE55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полномочия председателя Совета,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C604D5" w:rsidRPr="00D45019" w:rsidRDefault="00EE55A3" w:rsidP="00EE55A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 местной администрации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F45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А.Ю. Ярусов</w:t>
      </w:r>
    </w:p>
    <w:p w:rsidR="00C604D5" w:rsidRPr="00D45019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450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9B233A">
      <w:pgSz w:w="16838" w:h="11906" w:orient="landscape"/>
      <w:pgMar w:top="1276" w:right="992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CD" w:rsidRDefault="000E6DCD" w:rsidP="007B424E">
      <w:pPr>
        <w:spacing w:after="0" w:line="240" w:lineRule="auto"/>
      </w:pPr>
      <w:r>
        <w:separator/>
      </w:r>
    </w:p>
  </w:endnote>
  <w:endnote w:type="continuationSeparator" w:id="0">
    <w:p w:rsidR="000E6DCD" w:rsidRDefault="000E6DCD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33A" w:rsidRDefault="009B233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CD" w:rsidRDefault="000E6DCD" w:rsidP="007B424E">
      <w:pPr>
        <w:spacing w:after="0" w:line="240" w:lineRule="auto"/>
      </w:pPr>
      <w:r>
        <w:separator/>
      </w:r>
    </w:p>
  </w:footnote>
  <w:footnote w:type="continuationSeparator" w:id="0">
    <w:p w:rsidR="000E6DCD" w:rsidRDefault="000E6DCD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44863"/>
      <w:docPartObj>
        <w:docPartGallery w:val="Page Numbers (Top of Page)"/>
        <w:docPartUnique/>
      </w:docPartObj>
    </w:sdtPr>
    <w:sdtEndPr/>
    <w:sdtContent>
      <w:p w:rsidR="009B233A" w:rsidRDefault="009B23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F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215F"/>
    <w:rsid w:val="00064B71"/>
    <w:rsid w:val="00065792"/>
    <w:rsid w:val="00065CF1"/>
    <w:rsid w:val="00065F7C"/>
    <w:rsid w:val="00067643"/>
    <w:rsid w:val="00073842"/>
    <w:rsid w:val="0007481A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6261"/>
    <w:rsid w:val="000B1503"/>
    <w:rsid w:val="000C1BFF"/>
    <w:rsid w:val="000C2B37"/>
    <w:rsid w:val="000C3070"/>
    <w:rsid w:val="000C67FB"/>
    <w:rsid w:val="000D0793"/>
    <w:rsid w:val="000D1A9F"/>
    <w:rsid w:val="000D1EDE"/>
    <w:rsid w:val="000D3529"/>
    <w:rsid w:val="000D4D68"/>
    <w:rsid w:val="000D6985"/>
    <w:rsid w:val="000E082D"/>
    <w:rsid w:val="000E6DCD"/>
    <w:rsid w:val="000F12F5"/>
    <w:rsid w:val="000F1668"/>
    <w:rsid w:val="0010149E"/>
    <w:rsid w:val="001020F2"/>
    <w:rsid w:val="0010381A"/>
    <w:rsid w:val="001112D3"/>
    <w:rsid w:val="00112850"/>
    <w:rsid w:val="001164CD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734E4"/>
    <w:rsid w:val="001806D6"/>
    <w:rsid w:val="00186260"/>
    <w:rsid w:val="00190234"/>
    <w:rsid w:val="00190F1D"/>
    <w:rsid w:val="001911A9"/>
    <w:rsid w:val="001920C3"/>
    <w:rsid w:val="00196B7A"/>
    <w:rsid w:val="001A1751"/>
    <w:rsid w:val="001A25E0"/>
    <w:rsid w:val="001A3157"/>
    <w:rsid w:val="001B5274"/>
    <w:rsid w:val="001B59D7"/>
    <w:rsid w:val="001B5BA7"/>
    <w:rsid w:val="001C0281"/>
    <w:rsid w:val="001C4A6E"/>
    <w:rsid w:val="001C52BB"/>
    <w:rsid w:val="001C60D4"/>
    <w:rsid w:val="001C6D70"/>
    <w:rsid w:val="001D4EE6"/>
    <w:rsid w:val="001E1378"/>
    <w:rsid w:val="001E1CC7"/>
    <w:rsid w:val="001F441A"/>
    <w:rsid w:val="001F4BA6"/>
    <w:rsid w:val="001F4F95"/>
    <w:rsid w:val="001F51CD"/>
    <w:rsid w:val="001F55A4"/>
    <w:rsid w:val="001F5AD2"/>
    <w:rsid w:val="00202C1A"/>
    <w:rsid w:val="0020338E"/>
    <w:rsid w:val="002033B5"/>
    <w:rsid w:val="00204DAF"/>
    <w:rsid w:val="00204E57"/>
    <w:rsid w:val="00212A48"/>
    <w:rsid w:val="002177A1"/>
    <w:rsid w:val="002206E0"/>
    <w:rsid w:val="00221672"/>
    <w:rsid w:val="00221972"/>
    <w:rsid w:val="00222796"/>
    <w:rsid w:val="002228CC"/>
    <w:rsid w:val="002231C6"/>
    <w:rsid w:val="00224E5C"/>
    <w:rsid w:val="002258A3"/>
    <w:rsid w:val="00230354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2D4E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6175"/>
    <w:rsid w:val="003321A1"/>
    <w:rsid w:val="00352A8E"/>
    <w:rsid w:val="00354E91"/>
    <w:rsid w:val="0035584F"/>
    <w:rsid w:val="00361A9D"/>
    <w:rsid w:val="003633A5"/>
    <w:rsid w:val="00364651"/>
    <w:rsid w:val="00364FD2"/>
    <w:rsid w:val="003660E8"/>
    <w:rsid w:val="0036630C"/>
    <w:rsid w:val="003702E8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7E1"/>
    <w:rsid w:val="003F5B26"/>
    <w:rsid w:val="003F5F86"/>
    <w:rsid w:val="003F79E3"/>
    <w:rsid w:val="004005DA"/>
    <w:rsid w:val="00401CB5"/>
    <w:rsid w:val="00404CEF"/>
    <w:rsid w:val="004060FE"/>
    <w:rsid w:val="00411C37"/>
    <w:rsid w:val="004152D4"/>
    <w:rsid w:val="004212C8"/>
    <w:rsid w:val="00423DB5"/>
    <w:rsid w:val="00424A4C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0CC3"/>
    <w:rsid w:val="0049600F"/>
    <w:rsid w:val="004962C0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500029"/>
    <w:rsid w:val="00502894"/>
    <w:rsid w:val="005039E5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5E69"/>
    <w:rsid w:val="00536680"/>
    <w:rsid w:val="0054119A"/>
    <w:rsid w:val="0054171D"/>
    <w:rsid w:val="0055034C"/>
    <w:rsid w:val="00551F5C"/>
    <w:rsid w:val="00557742"/>
    <w:rsid w:val="005613A3"/>
    <w:rsid w:val="005619C1"/>
    <w:rsid w:val="005631A6"/>
    <w:rsid w:val="00563912"/>
    <w:rsid w:val="00565246"/>
    <w:rsid w:val="00565DD0"/>
    <w:rsid w:val="00565FAC"/>
    <w:rsid w:val="00566691"/>
    <w:rsid w:val="00567C46"/>
    <w:rsid w:val="00570B8B"/>
    <w:rsid w:val="00570CCE"/>
    <w:rsid w:val="00571ACD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D4674"/>
    <w:rsid w:val="005E3EC2"/>
    <w:rsid w:val="005E6458"/>
    <w:rsid w:val="005E6AF5"/>
    <w:rsid w:val="005F0865"/>
    <w:rsid w:val="005F0B9A"/>
    <w:rsid w:val="005F10A3"/>
    <w:rsid w:val="005F6C79"/>
    <w:rsid w:val="006006A1"/>
    <w:rsid w:val="00602117"/>
    <w:rsid w:val="006100B8"/>
    <w:rsid w:val="00613290"/>
    <w:rsid w:val="006145D4"/>
    <w:rsid w:val="00615F2C"/>
    <w:rsid w:val="00617D0E"/>
    <w:rsid w:val="0062072A"/>
    <w:rsid w:val="006223C4"/>
    <w:rsid w:val="006304EE"/>
    <w:rsid w:val="00630DB2"/>
    <w:rsid w:val="00631A52"/>
    <w:rsid w:val="006321B7"/>
    <w:rsid w:val="00634076"/>
    <w:rsid w:val="00635DC2"/>
    <w:rsid w:val="00642C3B"/>
    <w:rsid w:val="00643BB0"/>
    <w:rsid w:val="00646685"/>
    <w:rsid w:val="00650DFE"/>
    <w:rsid w:val="00651DF7"/>
    <w:rsid w:val="00652F82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1B67"/>
    <w:rsid w:val="006B2A5D"/>
    <w:rsid w:val="006B53C1"/>
    <w:rsid w:val="006B5FC4"/>
    <w:rsid w:val="006B7EE8"/>
    <w:rsid w:val="006D4C1B"/>
    <w:rsid w:val="006D5091"/>
    <w:rsid w:val="006D734A"/>
    <w:rsid w:val="006E0E75"/>
    <w:rsid w:val="006E1C6A"/>
    <w:rsid w:val="006E6337"/>
    <w:rsid w:val="006F0F98"/>
    <w:rsid w:val="006F3969"/>
    <w:rsid w:val="006F41AA"/>
    <w:rsid w:val="007008AD"/>
    <w:rsid w:val="0070252A"/>
    <w:rsid w:val="00712316"/>
    <w:rsid w:val="00714064"/>
    <w:rsid w:val="0071520D"/>
    <w:rsid w:val="00716E42"/>
    <w:rsid w:val="00721361"/>
    <w:rsid w:val="0072239C"/>
    <w:rsid w:val="00724B32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22B4"/>
    <w:rsid w:val="00783035"/>
    <w:rsid w:val="00784EB5"/>
    <w:rsid w:val="0078690F"/>
    <w:rsid w:val="007870F0"/>
    <w:rsid w:val="007947B3"/>
    <w:rsid w:val="007953A5"/>
    <w:rsid w:val="00796692"/>
    <w:rsid w:val="007A10EC"/>
    <w:rsid w:val="007A16A0"/>
    <w:rsid w:val="007A3A32"/>
    <w:rsid w:val="007A4D42"/>
    <w:rsid w:val="007A4EE1"/>
    <w:rsid w:val="007A5F31"/>
    <w:rsid w:val="007A6464"/>
    <w:rsid w:val="007B13DF"/>
    <w:rsid w:val="007B3FD1"/>
    <w:rsid w:val="007B424E"/>
    <w:rsid w:val="007B5471"/>
    <w:rsid w:val="007B65C9"/>
    <w:rsid w:val="007C4DEE"/>
    <w:rsid w:val="007C5044"/>
    <w:rsid w:val="007C719A"/>
    <w:rsid w:val="007C7545"/>
    <w:rsid w:val="007C7E90"/>
    <w:rsid w:val="007D2899"/>
    <w:rsid w:val="007D3A7D"/>
    <w:rsid w:val="007D65D5"/>
    <w:rsid w:val="007E0E29"/>
    <w:rsid w:val="007E1318"/>
    <w:rsid w:val="007E3FEF"/>
    <w:rsid w:val="007E5A74"/>
    <w:rsid w:val="007E741A"/>
    <w:rsid w:val="007E742B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6871"/>
    <w:rsid w:val="0086063C"/>
    <w:rsid w:val="008627E9"/>
    <w:rsid w:val="00862B9B"/>
    <w:rsid w:val="008633D4"/>
    <w:rsid w:val="008656A2"/>
    <w:rsid w:val="00865EB7"/>
    <w:rsid w:val="0086659F"/>
    <w:rsid w:val="00874D9B"/>
    <w:rsid w:val="008750A7"/>
    <w:rsid w:val="00883A9A"/>
    <w:rsid w:val="00883DA3"/>
    <w:rsid w:val="008860D7"/>
    <w:rsid w:val="00887CDD"/>
    <w:rsid w:val="008965FD"/>
    <w:rsid w:val="008A085F"/>
    <w:rsid w:val="008A1B93"/>
    <w:rsid w:val="008A1F64"/>
    <w:rsid w:val="008A2DFD"/>
    <w:rsid w:val="008A51DC"/>
    <w:rsid w:val="008A5787"/>
    <w:rsid w:val="008B4B5F"/>
    <w:rsid w:val="008C0079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0C6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3D6D"/>
    <w:rsid w:val="0090403D"/>
    <w:rsid w:val="00904509"/>
    <w:rsid w:val="009060D3"/>
    <w:rsid w:val="0091552F"/>
    <w:rsid w:val="0092533B"/>
    <w:rsid w:val="00925E0C"/>
    <w:rsid w:val="00926F2C"/>
    <w:rsid w:val="00930B93"/>
    <w:rsid w:val="00931A38"/>
    <w:rsid w:val="00933078"/>
    <w:rsid w:val="00935A01"/>
    <w:rsid w:val="00935A98"/>
    <w:rsid w:val="00941F50"/>
    <w:rsid w:val="00942F3B"/>
    <w:rsid w:val="00944635"/>
    <w:rsid w:val="00946B60"/>
    <w:rsid w:val="00950750"/>
    <w:rsid w:val="00954512"/>
    <w:rsid w:val="00960C63"/>
    <w:rsid w:val="00960ECE"/>
    <w:rsid w:val="00961DBE"/>
    <w:rsid w:val="00962DB4"/>
    <w:rsid w:val="00962E04"/>
    <w:rsid w:val="0096338F"/>
    <w:rsid w:val="00964257"/>
    <w:rsid w:val="00971988"/>
    <w:rsid w:val="00972EAD"/>
    <w:rsid w:val="0097422A"/>
    <w:rsid w:val="00976381"/>
    <w:rsid w:val="00980B4B"/>
    <w:rsid w:val="009811B1"/>
    <w:rsid w:val="009814E5"/>
    <w:rsid w:val="009828B5"/>
    <w:rsid w:val="00983E69"/>
    <w:rsid w:val="00987D08"/>
    <w:rsid w:val="00990410"/>
    <w:rsid w:val="00992617"/>
    <w:rsid w:val="00992E81"/>
    <w:rsid w:val="00994B2D"/>
    <w:rsid w:val="009A23FB"/>
    <w:rsid w:val="009A278C"/>
    <w:rsid w:val="009B065E"/>
    <w:rsid w:val="009B07A1"/>
    <w:rsid w:val="009B233A"/>
    <w:rsid w:val="009B5DD5"/>
    <w:rsid w:val="009C0885"/>
    <w:rsid w:val="009C44D5"/>
    <w:rsid w:val="009C55B7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4583"/>
    <w:rsid w:val="009F6ACF"/>
    <w:rsid w:val="009F76A5"/>
    <w:rsid w:val="00A0086D"/>
    <w:rsid w:val="00A00E19"/>
    <w:rsid w:val="00A02245"/>
    <w:rsid w:val="00A052C8"/>
    <w:rsid w:val="00A1023D"/>
    <w:rsid w:val="00A12173"/>
    <w:rsid w:val="00A121B0"/>
    <w:rsid w:val="00A1336D"/>
    <w:rsid w:val="00A136DE"/>
    <w:rsid w:val="00A17933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3D6E"/>
    <w:rsid w:val="00AA4F7C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AF460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3F20"/>
    <w:rsid w:val="00BB7090"/>
    <w:rsid w:val="00BC2F52"/>
    <w:rsid w:val="00BC57F6"/>
    <w:rsid w:val="00BD1F33"/>
    <w:rsid w:val="00BD3175"/>
    <w:rsid w:val="00BD449B"/>
    <w:rsid w:val="00BE1892"/>
    <w:rsid w:val="00BF17F2"/>
    <w:rsid w:val="00BF55E8"/>
    <w:rsid w:val="00BF7111"/>
    <w:rsid w:val="00C0029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3292B"/>
    <w:rsid w:val="00C37401"/>
    <w:rsid w:val="00C40C32"/>
    <w:rsid w:val="00C44503"/>
    <w:rsid w:val="00C47946"/>
    <w:rsid w:val="00C507E9"/>
    <w:rsid w:val="00C529BE"/>
    <w:rsid w:val="00C54D31"/>
    <w:rsid w:val="00C557C4"/>
    <w:rsid w:val="00C55806"/>
    <w:rsid w:val="00C55BF8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9DA"/>
    <w:rsid w:val="00C94FFB"/>
    <w:rsid w:val="00C96451"/>
    <w:rsid w:val="00CA1270"/>
    <w:rsid w:val="00CA1873"/>
    <w:rsid w:val="00CA224F"/>
    <w:rsid w:val="00CA47B3"/>
    <w:rsid w:val="00CA6E08"/>
    <w:rsid w:val="00CB107D"/>
    <w:rsid w:val="00CC0E7B"/>
    <w:rsid w:val="00CC2E84"/>
    <w:rsid w:val="00CC50D2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BE8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02F4"/>
    <w:rsid w:val="00D21512"/>
    <w:rsid w:val="00D21F7B"/>
    <w:rsid w:val="00D31645"/>
    <w:rsid w:val="00D41EAA"/>
    <w:rsid w:val="00D45019"/>
    <w:rsid w:val="00D455C3"/>
    <w:rsid w:val="00D46C64"/>
    <w:rsid w:val="00D51A10"/>
    <w:rsid w:val="00D53CB8"/>
    <w:rsid w:val="00D54588"/>
    <w:rsid w:val="00D55F76"/>
    <w:rsid w:val="00D62B12"/>
    <w:rsid w:val="00D64B55"/>
    <w:rsid w:val="00D65FC9"/>
    <w:rsid w:val="00D66723"/>
    <w:rsid w:val="00D7676B"/>
    <w:rsid w:val="00D774D4"/>
    <w:rsid w:val="00D77AD1"/>
    <w:rsid w:val="00D80525"/>
    <w:rsid w:val="00D821A5"/>
    <w:rsid w:val="00D8266D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D22EC"/>
    <w:rsid w:val="00DE322A"/>
    <w:rsid w:val="00DE50C5"/>
    <w:rsid w:val="00DE72A8"/>
    <w:rsid w:val="00DF0E7E"/>
    <w:rsid w:val="00DF4E04"/>
    <w:rsid w:val="00DF4EC0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77EC0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A1B09"/>
    <w:rsid w:val="00EA3ED7"/>
    <w:rsid w:val="00EA63B0"/>
    <w:rsid w:val="00EA6BDB"/>
    <w:rsid w:val="00EA7C87"/>
    <w:rsid w:val="00EB1E4D"/>
    <w:rsid w:val="00EB2661"/>
    <w:rsid w:val="00EC1E5A"/>
    <w:rsid w:val="00EC258D"/>
    <w:rsid w:val="00EC7028"/>
    <w:rsid w:val="00EC7F0C"/>
    <w:rsid w:val="00ED5F35"/>
    <w:rsid w:val="00ED6ECD"/>
    <w:rsid w:val="00ED7567"/>
    <w:rsid w:val="00EE240E"/>
    <w:rsid w:val="00EE2414"/>
    <w:rsid w:val="00EE4056"/>
    <w:rsid w:val="00EE55A3"/>
    <w:rsid w:val="00EE7656"/>
    <w:rsid w:val="00EF052C"/>
    <w:rsid w:val="00EF064E"/>
    <w:rsid w:val="00EF1458"/>
    <w:rsid w:val="00EF3C46"/>
    <w:rsid w:val="00EF55A0"/>
    <w:rsid w:val="00F02C15"/>
    <w:rsid w:val="00F04E92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DCF"/>
    <w:rsid w:val="00F45392"/>
    <w:rsid w:val="00F5133F"/>
    <w:rsid w:val="00F51755"/>
    <w:rsid w:val="00F54207"/>
    <w:rsid w:val="00F54B9C"/>
    <w:rsid w:val="00F63569"/>
    <w:rsid w:val="00F64AE5"/>
    <w:rsid w:val="00F70889"/>
    <w:rsid w:val="00F80AA5"/>
    <w:rsid w:val="00F81317"/>
    <w:rsid w:val="00F854CE"/>
    <w:rsid w:val="00F85FE7"/>
    <w:rsid w:val="00F928A9"/>
    <w:rsid w:val="00F93178"/>
    <w:rsid w:val="00F93521"/>
    <w:rsid w:val="00F93E92"/>
    <w:rsid w:val="00F93EB1"/>
    <w:rsid w:val="00F94892"/>
    <w:rsid w:val="00F96E79"/>
    <w:rsid w:val="00FA19DA"/>
    <w:rsid w:val="00FA2A41"/>
    <w:rsid w:val="00FA2BC1"/>
    <w:rsid w:val="00FB19BF"/>
    <w:rsid w:val="00FB1ECB"/>
    <w:rsid w:val="00FB2DB3"/>
    <w:rsid w:val="00FB3F2E"/>
    <w:rsid w:val="00FB3F88"/>
    <w:rsid w:val="00FB6EAE"/>
    <w:rsid w:val="00FC0E7E"/>
    <w:rsid w:val="00FC4628"/>
    <w:rsid w:val="00FC68F1"/>
    <w:rsid w:val="00FD4394"/>
    <w:rsid w:val="00FD4BF1"/>
    <w:rsid w:val="00FE12CC"/>
    <w:rsid w:val="00FE3C9A"/>
    <w:rsid w:val="00FE5044"/>
    <w:rsid w:val="00FE7976"/>
    <w:rsid w:val="00FE7B8D"/>
    <w:rsid w:val="00FE7BCD"/>
    <w:rsid w:val="00FF1B65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1665C-D1D2-4402-9FFA-4F07387F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12</Pages>
  <Words>3641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37</cp:revision>
  <cp:lastPrinted>2023-10-12T08:28:00Z</cp:lastPrinted>
  <dcterms:created xsi:type="dcterms:W3CDTF">2023-08-24T12:20:00Z</dcterms:created>
  <dcterms:modified xsi:type="dcterms:W3CDTF">2023-10-24T07:25:00Z</dcterms:modified>
</cp:coreProperties>
</file>